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과업 범위 확정 및 요구사항 동결 합의서 (Scope Freeze)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Phase 1 요구사항 분석 완료 선언 및 구두 요구사항 무효화 합의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확정 대상 산출물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요구사항 정의서 (SRS v1.0, 총 [    ] 건)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요구사항 추적표 (RTM v1.0, WBS 및 테스트 케이스 매핑)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BDD 수용 기준 명세서 (Given-When-Then 시나리오)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과업 범위 동결 4대 원칙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양 당사자는 본 합의서에 등재된 요구사항만을 공식 개발 과업으로 확정한다.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본 합의일 이후 회의나 메신저를 통한 구두 요구사항은 일체 계약적 효력을 갖지 않는다.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사양 변경 발생 시 5 M/D 이상 작업은 공식 CR Form을 통해 일정/비용 증액을 연동한다.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4. 발주처는 Phase 2 아키텍처 및 화면 상세 설계 단계 진입을 공식 승인한다.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발주처 현업 총괄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현업사업총괄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발주처 IT 총괄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IT정보화책임자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수행사 사업 총괄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사업총괄PM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