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algun Gothic" w:hAnsi="Malgun Gothic"/>
          <w:b/>
          <w:color w:val="1E293B"/>
          <w:sz w:val="36"/>
        </w:rPr>
        <w:t>기성(중도금) 검수 신청서 및 중간보고서</w:t>
      </w:r>
    </w:p>
    <w:p>
      <w:pPr>
        <w:jc w:val="center"/>
      </w:pPr>
      <w:r>
        <w:rPr>
          <w:rFonts w:ascii="Malgun Gothic" w:hAnsi="Malgun Gothic"/>
          <w:color w:val="64748B"/>
          <w:sz w:val="21"/>
        </w:rPr>
        <w:t>중간 마일스톤 달성 검사 요청 및 기성 대금 청구서</w:t>
      </w:r>
    </w:p>
    <w:p/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1. 기성 검수 신청 개요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구분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내용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사업명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[공식 계약서상 사업명]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총 계약금액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일금 [           ] 원 (VAT 포함)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금회 기성 신청액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일금 [           ] 원 (계약금의 40%)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공정 목표 달성률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계획 70.0% 대비 실적 70.8% 달성</w:t>
            </w:r>
          </w:p>
        </w:tc>
      </w:tr>
    </w:tbl>
    <w:p/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2. 중간 납품 산출물 검수 목록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1. 백엔드 핵심 도메인 소스코드 및 REST API 120건 구현 완료 증빙.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2. 프론트엔드 주요 업무 화면 40건 퍼블리싱 및 동적 라우팅 연동 완료.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3. 단위 테스트 결과서 (커버리지 82% 달성) 첨부.</w:t>
      </w:r>
    </w:p>
    <w:p>
      <w:pPr>
        <w:jc w:val="center"/>
      </w:pPr>
      <w:r>
        <w:rPr>
          <w:rFonts w:ascii="Malgun Gothic" w:hAnsi="Malgun Gothic"/>
          <w:b/>
          <w:sz w:val="21"/>
        </w:rPr>
        <w:t>합의 및 확인일자: 202  년     월     일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구 분</w:t>
            </w:r>
          </w:p>
        </w:tc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소속 / 직급 / 성명</w:t>
            </w:r>
          </w:p>
        </w:tc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서명 / 날인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신청인 (수행사)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주식회사 엠파시 대표이사 [           ]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검사원 (발주처)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[고객사명] 중간검수검사원 [           ]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</w:tbl>
    <w:p/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