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최종 검수 완료 확인서 및 시스템 인수증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국가계약법 제55조에 따른 사업 준공 검사 합격 및 대금 청구 승인서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사업 및 계약 정보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구분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내용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사업명 (계약건명)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[공식 계약서상 사업명]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 번호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[계약 번호]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 기간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202 년  월  일 ~ 202 년  월  일 (납기 내 준공)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총 계약 금액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(VAT 포함)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금회 검수 금액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 (총 계약금액의 100%)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검수 총평 및 무상 하자보수 개시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계약상 명시된 모든 기능 및 비기능 요구사항이 충실히 구축되었음을 확인하고 최종 인수함.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본 확인서 날인일 익일부터 계약서에 명시된 1년간의 무상 하자담보 책임 기간이 공식 개시됨.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하자담보 책임기간: 202 년  월  일 ~ 202 년  월  일 (1년간)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검사원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최종검수검사원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입회관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사업주관부서장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인계자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